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 Analysis</w:t>
      </w:r>
    </w:p>
    <w:p>
      <w:r>
        <w:rPr>
          <w:b/>
          <w:i w:val="0"/>
        </w:rPr>
        <w:t>Industry overview and trends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Customer profile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Age, income or business size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Needs and pain points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Buying habits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How they decide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Definition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2550"/>
          </w:tcPr>
          <w:p>
            <w:r>
              <w:t>TAM (total addressable)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SAM (serviceable)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SOM (obtainable)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Market trends and how they affect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Barriers to entry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