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PESTLE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Factor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What is happening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Impact (H/M/L)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Opportunity or threat</w:t>
            </w:r>
          </w:p>
        </w:tc>
        <w:tc>
          <w:tcPr>
            <w:tcW w:type="dxa" w:w="2760"/>
            <w:shd w:val="clear" w:color="auto" w:fill="0F5D4E"/>
          </w:tcPr>
          <w:p>
            <w:r/>
            <w:r>
              <w:rPr>
                <w:b/>
                <w:color w:val="FFFFFF"/>
              </w:rPr>
              <w:t>Our response</w:t>
            </w:r>
          </w:p>
        </w:tc>
      </w:tr>
      <w:tr>
        <w:tc>
          <w:tcPr>
            <w:tcW w:type="dxa" w:w="2760"/>
          </w:tcPr>
          <w:p>
            <w:r>
              <w:t>Political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Economic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Social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Technological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Legal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  <w:tr>
        <w:tc>
          <w:tcPr>
            <w:tcW w:type="dxa" w:w="2760"/>
          </w:tcPr>
          <w:p>
            <w:r>
              <w:t>Environmental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  <w:tc>
          <w:tcPr>
            <w:tcW w:type="dxa" w:w="276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